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20" w:lineRule="exact"/>
        <w:ind w:left="0" w:right="0"/>
        <w:jc w:val="both"/>
        <w:textAlignment w:val="auto"/>
        <w:rPr>
          <w:rFonts w:hint="eastAsia" w:ascii="黑体" w:hAnsi="宋体" w:eastAsia="黑体" w:cs="黑体"/>
          <w:i w:val="0"/>
          <w:iCs w:val="0"/>
          <w:caps w:val="0"/>
          <w:color w:val="333333"/>
          <w:spacing w:val="6"/>
          <w:kern w:val="0"/>
          <w:sz w:val="31"/>
          <w:szCs w:val="31"/>
          <w:shd w:val="clear" w:color="auto" w:fill="FFFFFF"/>
          <w:lang w:val="en-US" w:eastAsia="zh-CN" w:bidi="ar"/>
        </w:rPr>
      </w:pPr>
      <w:bookmarkStart w:id="0" w:name="_GoBack"/>
      <w:bookmarkEnd w:id="0"/>
      <mc:AlternateContent>
        <mc:Choice Requires="wpsCustomData">
          <wpsCustomData:docfieldStart id="0" docfieldname="密级" hidden="0" print="1" readonly="0" index="1"/>
        </mc:Choice>
      </mc:AlternateContent>
      <mc:AlternateContent>
        <mc:Choice Requires="wpsCustomData">
          <wpsCustomData:docfieldEnd id="0"/>
        </mc:Choice>
      </mc:AlternateContent>
      <w:r>
        <w:rPr>
          <w:rFonts w:ascii="黑体" w:hAnsi="宋体" w:eastAsia="黑体" w:cs="黑体"/>
          <w:i w:val="0"/>
          <w:iCs w:val="0"/>
          <w:caps w:val="0"/>
          <w:color w:val="333333"/>
          <w:spacing w:val="6"/>
          <w:kern w:val="0"/>
          <w:sz w:val="31"/>
          <w:szCs w:val="31"/>
          <w:shd w:val="clear" w:color="auto" w:fill="FFFFFF"/>
          <w:lang w:val="en-US" w:eastAsia="zh-CN" w:bidi="ar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6"/>
          <w:kern w:val="0"/>
          <w:sz w:val="31"/>
          <w:szCs w:val="31"/>
          <w:shd w:val="clear" w:color="auto" w:fill="FFFFFF"/>
          <w:lang w:val="en-US" w:eastAsia="zh-CN" w:bidi="ar"/>
        </w:rPr>
        <w:t>2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00" w:lineRule="exact"/>
        <w:ind w:left="0" w:right="0" w:firstLine="907"/>
        <w:jc w:val="center"/>
        <w:textAlignment w:val="auto"/>
        <w:rPr>
          <w:rFonts w:hint="eastAsia" w:ascii="黑体" w:hAnsi="宋体" w:eastAsia="黑体" w:cs="黑体"/>
          <w:i w:val="0"/>
          <w:iCs w:val="0"/>
          <w:caps w:val="0"/>
          <w:color w:val="333333"/>
          <w:spacing w:val="7"/>
          <w:kern w:val="0"/>
          <w:sz w:val="44"/>
          <w:szCs w:val="44"/>
          <w:shd w:val="clear" w:color="auto" w:fill="FFFFFF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7"/>
          <w:kern w:val="0"/>
          <w:sz w:val="44"/>
          <w:szCs w:val="44"/>
          <w:shd w:val="clear" w:color="auto" w:fill="FFFFFF"/>
          <w:lang w:val="en-US" w:eastAsia="zh-CN" w:bidi="ar"/>
        </w:rPr>
        <w:t>初创企业经营者能力提升专题培训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6"/>
        <w:gridCol w:w="2802"/>
        <w:gridCol w:w="2562"/>
        <w:gridCol w:w="2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7" w:type="dxa"/>
            <w:noWrap w:val="0"/>
            <w:vAlign w:val="top"/>
          </w:tcPr>
          <w:p>
            <w:pPr>
              <w:jc w:val="center"/>
              <w:rPr>
                <w:rFonts w:hint="eastAsia" w:ascii="方正仿宋_GB18030" w:hAnsi="方正仿宋_GB18030" w:eastAsia="方正仿宋_GB18030" w:cs="方正仿宋_GB18030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b/>
                <w:bCs/>
                <w:sz w:val="24"/>
                <w:szCs w:val="24"/>
                <w:vertAlign w:val="baseline"/>
                <w:lang w:val="en-US" w:eastAsia="zh-CN"/>
              </w:rPr>
              <w:t>专题</w:t>
            </w:r>
          </w:p>
        </w:tc>
        <w:tc>
          <w:tcPr>
            <w:tcW w:w="4281" w:type="dxa"/>
            <w:noWrap w:val="0"/>
            <w:vAlign w:val="top"/>
          </w:tcPr>
          <w:p>
            <w:pPr>
              <w:jc w:val="center"/>
              <w:rPr>
                <w:rFonts w:hint="eastAsia" w:ascii="方正仿宋_GB18030" w:hAnsi="方正仿宋_GB18030" w:eastAsia="方正仿宋_GB18030" w:cs="方正仿宋_GB18030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18030" w:hAnsi="方正仿宋_GB18030" w:eastAsia="方正仿宋_GB18030" w:cs="方正仿宋_GB18030"/>
                <w:b/>
                <w:bCs/>
                <w:sz w:val="24"/>
                <w:szCs w:val="24"/>
                <w:vertAlign w:val="baseline"/>
                <w:lang w:val="en-US" w:eastAsia="zh-CN"/>
              </w:rPr>
              <w:t>目标</w:t>
            </w:r>
          </w:p>
        </w:tc>
        <w:tc>
          <w:tcPr>
            <w:tcW w:w="4015" w:type="dxa"/>
            <w:noWrap w:val="0"/>
            <w:vAlign w:val="top"/>
          </w:tcPr>
          <w:p>
            <w:pPr>
              <w:jc w:val="center"/>
              <w:rPr>
                <w:rFonts w:hint="eastAsia" w:ascii="方正仿宋_GB18030" w:hAnsi="方正仿宋_GB18030" w:eastAsia="方正仿宋_GB18030" w:cs="方正仿宋_GB18030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18030" w:hAnsi="方正仿宋_GB18030" w:eastAsia="方正仿宋_GB18030" w:cs="方正仿宋_GB18030"/>
                <w:b/>
                <w:bCs/>
                <w:sz w:val="24"/>
                <w:szCs w:val="24"/>
                <w:vertAlign w:val="baseline"/>
                <w:lang w:val="en-US" w:eastAsia="zh-CN"/>
              </w:rPr>
              <w:t>内容</w:t>
            </w:r>
          </w:p>
        </w:tc>
        <w:tc>
          <w:tcPr>
            <w:tcW w:w="3481" w:type="dxa"/>
            <w:noWrap w:val="0"/>
            <w:vAlign w:val="top"/>
          </w:tcPr>
          <w:p>
            <w:pPr>
              <w:jc w:val="center"/>
              <w:rPr>
                <w:rFonts w:hint="eastAsia" w:ascii="方正仿宋_GB18030" w:hAnsi="方正仿宋_GB18030" w:eastAsia="方正仿宋_GB18030" w:cs="方正仿宋_GB18030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18030" w:hAnsi="方正仿宋_GB18030" w:eastAsia="方正仿宋_GB18030" w:cs="方正仿宋_GB18030"/>
                <w:b/>
                <w:bCs/>
                <w:sz w:val="24"/>
                <w:szCs w:val="24"/>
                <w:vertAlign w:val="baseline"/>
                <w:lang w:val="en-US" w:eastAsia="zh-CN"/>
              </w:rPr>
              <w:t>高校学习/企业参访/现场教学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b w:val="0"/>
                <w:bCs/>
                <w:sz w:val="22"/>
                <w:szCs w:val="22"/>
              </w:rPr>
            </w:pPr>
            <w:r>
              <w:rPr>
                <w:rFonts w:hint="eastAsia" w:ascii="方正仿宋_GB18030" w:hAnsi="方正仿宋_GB18030" w:eastAsia="方正仿宋_GB18030" w:cs="方正仿宋_GB18030"/>
                <w:b w:val="0"/>
                <w:bCs/>
                <w:sz w:val="22"/>
                <w:szCs w:val="22"/>
              </w:rPr>
              <w:t>核心管理与战略赋能专题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vertAlign w:val="baseline"/>
                <w:lang w:val="en-US" w:eastAsia="zh-CN"/>
              </w:rPr>
            </w:pPr>
          </w:p>
        </w:tc>
        <w:tc>
          <w:tcPr>
            <w:tcW w:w="428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方正仿宋_GB18030" w:hAnsi="方正仿宋_GB18030" w:eastAsia="方正仿宋_GB18030" w:cs="方正仿宋_GB18030"/>
                <w:vertAlign w:val="baseline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  <w:t>深度聚焦初创企业生存与发展核心，解析战略规划的灵活性与聚焦性平衡逻辑，教授SWOT、PEST、波特五力等经典分析工具的实操应用；助力企业构建“战略清晰+运营稳健”的双核心体系。</w:t>
            </w:r>
          </w:p>
        </w:tc>
        <w:tc>
          <w:tcPr>
            <w:tcW w:w="4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  <w:t>《高效团队搭建与执行力提升》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  <w:t>《战略与商业模式创新工作坊》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  <w:t>《数字化时代领导力》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  <w:t>《品牌营销与客户管理》</w:t>
            </w:r>
          </w:p>
        </w:tc>
        <w:tc>
          <w:tcPr>
            <w:tcW w:w="348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  <w:t>中山大学（深圳校区）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  <w:t>深圳大学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  <w:t>深圳清华大学研究院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  <w:t>前海深港现代服务业合作区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  <w:t>河套深港科技创新合作区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vertAlign w:val="baseline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b w:val="0"/>
                <w:bCs/>
                <w:sz w:val="22"/>
                <w:szCs w:val="22"/>
              </w:rPr>
              <w:t>智能制造与产业升级专题</w:t>
            </w:r>
          </w:p>
        </w:tc>
        <w:tc>
          <w:tcPr>
            <w:tcW w:w="428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方正仿宋_GB18030" w:hAnsi="方正仿宋_GB18030" w:eastAsia="方正仿宋_GB18030" w:cs="方正仿宋_GB18030"/>
                <w:vertAlign w:val="baseline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  <w:t>解读智能制造核心技术发展趋势，分析激光技术、智能装备等在消费电子、工业制造等领域的应用场景；结合企业案例，讲解初创企业技术引进、产品迭代与配套实操策略，助力企业把握产业升级机遇。</w:t>
            </w:r>
          </w:p>
        </w:tc>
        <w:tc>
          <w:tcPr>
            <w:tcW w:w="4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highlight w:val="none"/>
                <w:vertAlign w:val="baseline"/>
                <w:lang w:val="en-US" w:eastAsia="zh-CN"/>
              </w:rPr>
              <w:t>《工业互联网与制造业数字化转型》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highlight w:val="none"/>
                <w:vertAlign w:val="baseline"/>
                <w:lang w:val="en-US" w:eastAsia="zh-CN"/>
              </w:rPr>
              <w:t>《制造企业数字化转型的“4转1化”》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  <w:t>《打造创新链与产业链融合机制，推动科技创新高质量发展》</w:t>
            </w:r>
          </w:p>
        </w:tc>
        <w:tc>
          <w:tcPr>
            <w:tcW w:w="348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  <w:t>哈尔滨工业大学（深圳）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  <w:t>大族激光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  <w:t>华成工控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  <w:t>粤港澳大湾区工业互联网公共技术服务平台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b w:val="0"/>
                <w:bCs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vertAlign w:val="baseline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b w:val="0"/>
                <w:bCs/>
                <w:sz w:val="22"/>
                <w:szCs w:val="22"/>
              </w:rPr>
              <w:t>人工智能与数字</w:t>
            </w:r>
            <w:r>
              <w:rPr>
                <w:rFonts w:hint="eastAsia" w:ascii="方正仿宋_GB18030" w:hAnsi="方正仿宋_GB18030" w:eastAsia="方正仿宋_GB18030" w:cs="方正仿宋_GB18030"/>
                <w:b w:val="0"/>
                <w:bCs/>
                <w:sz w:val="22"/>
                <w:szCs w:val="22"/>
                <w:lang w:val="en-US" w:eastAsia="zh-CN"/>
              </w:rPr>
              <w:t>转型</w:t>
            </w:r>
            <w:r>
              <w:rPr>
                <w:rFonts w:hint="eastAsia" w:ascii="方正仿宋_GB18030" w:hAnsi="方正仿宋_GB18030" w:eastAsia="方正仿宋_GB18030" w:cs="方正仿宋_GB18030"/>
                <w:b w:val="0"/>
                <w:bCs/>
                <w:sz w:val="22"/>
                <w:szCs w:val="22"/>
              </w:rPr>
              <w:t>专题</w:t>
            </w:r>
          </w:p>
        </w:tc>
        <w:tc>
          <w:tcPr>
            <w:tcW w:w="428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  <w:t>解析人工智能技术前沿趋势与产业应用场景，聚焦AI在产品研发、客户服务、组织管理、运营效率提升等方面的落地案例；针对初创企业特点，提供低成本接入AI技术的路径与风险规避方案，探索AI与自身业务的融合创新点。</w:t>
            </w:r>
          </w:p>
        </w:tc>
        <w:tc>
          <w:tcPr>
            <w:tcW w:w="401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highlight w:val="none"/>
                <w:vertAlign w:val="baseline"/>
                <w:lang w:val="en-US" w:eastAsia="zh-CN"/>
              </w:rPr>
              <w:t>《AI赋能企业经营管理高效提升》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highlight w:val="none"/>
                <w:vertAlign w:val="baseline"/>
                <w:lang w:val="en-US" w:eastAsia="zh-CN"/>
              </w:rPr>
              <w:t>《人工智能与机器人的商业模式创新》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highlight w:val="none"/>
                <w:vertAlign w:val="baseline"/>
                <w:lang w:val="en-US" w:eastAsia="zh-CN"/>
              </w:rPr>
              <w:t>《AI智能硬件创业创新的关键要素》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highlight w:val="none"/>
                <w:vertAlign w:val="baseline"/>
                <w:lang w:val="en-US" w:eastAsia="zh-CN"/>
              </w:rPr>
              <w:t>《AI领导力打造人效倍增的智能化组织》</w:t>
            </w:r>
          </w:p>
        </w:tc>
        <w:tc>
          <w:tcPr>
            <w:tcW w:w="348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  <w:t>深圳清华大学研究院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  <w:t>中国科学院先进技术研究院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  <w:t>阿里云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  <w:t>大疆科技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  <w:t>广东省湾区低空经济研究院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vertAlign w:val="baseline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b w:val="0"/>
                <w:bCs/>
                <w:sz w:val="22"/>
                <w:szCs w:val="22"/>
                <w:lang w:val="en-US" w:eastAsia="zh-CN"/>
              </w:rPr>
              <w:t>融资实战与资源整合专题</w:t>
            </w:r>
          </w:p>
        </w:tc>
        <w:tc>
          <w:tcPr>
            <w:tcW w:w="428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  <w:t>解决初创企业“融资难、不会融”的痛点，从“BP撰写”“估值谈判”到“投资人对接”全流程赋能，帮助企业高效获取资金支持。</w:t>
            </w:r>
          </w:p>
        </w:tc>
        <w:tc>
          <w:tcPr>
            <w:tcW w:w="401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56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  <w:t>《全球经济动向与企业的生存发展之道》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256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  <w:t>《科技创新企业融资渠道与资本运》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256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  <w:t>《公司治理与股权激励》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256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  <w:t>《资本顶层设计与企业价值提升》</w:t>
            </w:r>
          </w:p>
        </w:tc>
        <w:tc>
          <w:tcPr>
            <w:tcW w:w="348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  <w:t>深圳清华大学研究院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  <w:t>力合科创股份有限公司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  <w:t>深圳大学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  <w:t>深圳证券交易所（深交所）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1"/>
                <w:szCs w:val="21"/>
                <w:vertAlign w:val="baseline"/>
                <w:lang w:val="en-US" w:eastAsia="zh-CN"/>
              </w:rPr>
              <w:t>深圳企业家交流晚宴</w:t>
            </w:r>
          </w:p>
        </w:tc>
      </w:tr>
    </w:tbl>
    <w:p>
      <w:pPr>
        <w:spacing w:line="520" w:lineRule="exact"/>
        <w:ind w:firstLine="436" w:firstLineChars="200"/>
        <w:rPr>
          <w:rFonts w:hint="default" w:ascii="仿宋_GB2312" w:hAnsi="仿宋" w:eastAsia="仿宋_GB2312" w:cs="宋体"/>
          <w:b w:val="0"/>
          <w:color w:val="000000"/>
          <w:kern w:val="0"/>
          <w:sz w:val="22"/>
          <w:szCs w:val="22"/>
          <w:highlight w:val="none"/>
          <w:lang w:val="en-US" w:eastAsia="zh-CN" w:bidi="ar-SA"/>
        </w:rPr>
      </w:pPr>
      <w:r>
        <w:rPr>
          <w:rFonts w:hint="eastAsia" w:ascii="仿宋_GB2312" w:hAnsi="仿宋" w:eastAsia="仿宋_GB2312" w:cs="宋体"/>
          <w:b w:val="0"/>
          <w:color w:val="000000"/>
          <w:kern w:val="0"/>
          <w:sz w:val="22"/>
          <w:szCs w:val="22"/>
          <w:highlight w:val="none"/>
          <w:lang w:val="en-US" w:eastAsia="zh-CN" w:bidi="ar-SA"/>
        </w:rPr>
        <w:t>注：具体培训日程以实际执行为准</w:t>
      </w:r>
    </w:p>
    <w:p>
      <w:pPr>
        <w:rPr>
          <w:rFonts w:hint="eastAsia"/>
          <w:vanish/>
        </w:rPr>
      </w:pPr>
      <mc:AlternateContent>
        <mc:Choice Requires="wpsCustomData">
          <wpsCustomData:docfieldStart id="1" docfieldname="印发日期" hidden="0" print="1" readonly="0" index="11"/>
        </mc:Choice>
      </mc:AlternateContent>
      <w:r>
        <w:rPr>
          <w:rFonts w:hint="eastAsia" w:hAnsi="方正仿宋_GBK"/>
          <w:vanish/>
          <w:spacing w:val="-6"/>
          <w:kern w:val="2"/>
          <w:sz w:val="28"/>
          <w:lang w:val="en" w:eastAsia="zh-CN"/>
        </w:rPr>
        <w:t>2026年1月8日</w:t>
      </w:r>
      <mc:AlternateContent>
        <mc:Choice Requires="wpsCustomData">
          <wpsCustomData:docfieldEnd id="1"/>
        </mc:Choice>
      </mc:AlternateContent>
    </w:p>
    <w:sectPr>
      <w:headerReference r:id="rId5" w:type="default"/>
      <w:footerReference r:id="rId7" w:type="default"/>
      <w:headerReference r:id="rId6" w:type="even"/>
      <w:footerReference r:id="rId8" w:type="even"/>
      <w:pgSz w:w="11906" w:h="16838"/>
      <w:pgMar w:top="2098" w:right="1417" w:bottom="1587" w:left="1587" w:header="850" w:footer="1361" w:gutter="0"/>
      <w:paperSrc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rtlGutter w:val="0"/>
      <w:docGrid w:type="linesAndChars" w:linePitch="593" w:charSpace="-4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18030">
    <w:altName w:val="方正仿宋_GBK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wordWrap w:val="0"/>
      <w:ind w:right="11"/>
      <w:jc w:val="right"/>
      <w:rPr>
        <w:rFonts w:hint="eastAsia" w:ascii="楷体_GB2312" w:eastAsia="楷体_GB2312"/>
        <w:sz w:val="28"/>
      </w:rPr>
    </w:pPr>
    <w:r>
      <w:rPr>
        <w:rStyle w:val="11"/>
        <w:rFonts w:hint="eastAsia" w:ascii="楷体_GB2312" w:eastAsia="楷体_GB2312"/>
        <w:sz w:val="28"/>
      </w:rPr>
      <w:t>—</w:t>
    </w:r>
    <w:r>
      <w:rPr>
        <w:rFonts w:hint="eastAsia" w:ascii="宋体" w:hAnsi="宋体" w:eastAsia="宋体"/>
        <w:sz w:val="28"/>
      </w:rPr>
      <w:fldChar w:fldCharType="begin"/>
    </w:r>
    <w:r>
      <w:rPr>
        <w:rStyle w:val="11"/>
        <w:rFonts w:hint="eastAsia" w:ascii="宋体" w:hAnsi="宋体" w:eastAsia="宋体"/>
        <w:sz w:val="28"/>
      </w:rPr>
      <w:instrText xml:space="preserve"> PAGE </w:instrText>
    </w:r>
    <w:r>
      <w:rPr>
        <w:rFonts w:hint="eastAsia" w:ascii="宋体" w:hAnsi="宋体" w:eastAsia="宋体"/>
        <w:sz w:val="28"/>
      </w:rPr>
      <w:fldChar w:fldCharType="separate"/>
    </w:r>
    <w:r>
      <w:rPr>
        <w:rStyle w:val="11"/>
        <w:rFonts w:hint="eastAsia" w:ascii="宋体" w:hAnsi="宋体" w:eastAsia="宋体"/>
        <w:sz w:val="28"/>
        <w:lang/>
      </w:rPr>
      <w:t>1</w:t>
    </w:r>
    <w:r>
      <w:rPr>
        <w:rFonts w:hint="eastAsia" w:ascii="宋体" w:hAnsi="宋体" w:eastAsia="宋体"/>
        <w:sz w:val="28"/>
      </w:rPr>
      <w:fldChar w:fldCharType="end"/>
    </w:r>
    <w:r>
      <w:rPr>
        <w:rStyle w:val="11"/>
        <w:rFonts w:hint="eastAsia" w:ascii="楷体_GB2312" w:eastAsia="楷体_GB2312"/>
        <w:sz w:val="28"/>
      </w:rPr>
      <w:t xml:space="preserve">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280" w:firstLineChars="100"/>
      <w:rPr>
        <w:rFonts w:hint="eastAsia" w:ascii="楷体_GB2312" w:eastAsia="楷体_GB2312"/>
        <w:sz w:val="28"/>
      </w:rPr>
    </w:pPr>
    <w:r>
      <w:rPr>
        <w:rStyle w:val="11"/>
        <w:rFonts w:hint="eastAsia" w:ascii="楷体_GB2312" w:eastAsia="楷体_GB2312"/>
        <w:sz w:val="28"/>
      </w:rPr>
      <w:t>—</w:t>
    </w:r>
    <w:r>
      <w:rPr>
        <w:rFonts w:hint="eastAsia" w:ascii="宋体" w:hAnsi="宋体" w:eastAsia="宋体"/>
        <w:sz w:val="28"/>
      </w:rPr>
      <w:fldChar w:fldCharType="begin"/>
    </w:r>
    <w:r>
      <w:rPr>
        <w:rStyle w:val="11"/>
        <w:rFonts w:hint="eastAsia" w:ascii="宋体" w:hAnsi="宋体" w:eastAsia="宋体"/>
        <w:sz w:val="28"/>
      </w:rPr>
      <w:instrText xml:space="preserve"> PAGE </w:instrText>
    </w:r>
    <w:r>
      <w:rPr>
        <w:rFonts w:hint="eastAsia" w:ascii="宋体" w:hAnsi="宋体" w:eastAsia="宋体"/>
        <w:sz w:val="28"/>
      </w:rPr>
      <w:fldChar w:fldCharType="separate"/>
    </w:r>
    <w:r>
      <w:rPr>
        <w:rStyle w:val="11"/>
        <w:rFonts w:hint="eastAsia" w:ascii="宋体" w:hAnsi="宋体" w:eastAsia="宋体"/>
        <w:sz w:val="28"/>
        <w:lang/>
      </w:rPr>
      <w:t>2</w:t>
    </w:r>
    <w:r>
      <w:rPr>
        <w:rFonts w:hint="eastAsia" w:ascii="宋体" w:hAnsi="宋体" w:eastAsia="宋体"/>
        <w:sz w:val="28"/>
      </w:rPr>
      <w:fldChar w:fldCharType="end"/>
    </w:r>
    <w:r>
      <w:rPr>
        <w:rStyle w:val="11"/>
        <w:rFonts w:hint="eastAsia" w:ascii="楷体_GB2312" w:eastAsia="楷体_GB2312"/>
        <w:sz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720"/>
  <w:hyphenationZone w:val="360"/>
  <w:evenAndOddHeaders w:val="1"/>
  <w:drawingGridHorizontalSpacing w:val="159"/>
  <w:drawingGridVerticalSpacing w:val="222"/>
  <w:displayHorizontalDrawingGridEvery w:val="2"/>
  <w:displayVerticalDrawingGridEvery w:val="2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D121AB6"/>
    <w:rsid w:val="16836E27"/>
    <w:rsid w:val="179007DC"/>
    <w:rsid w:val="38FFF5B2"/>
    <w:rsid w:val="3F5F1B7A"/>
    <w:rsid w:val="4FE22871"/>
    <w:rsid w:val="5EEAF15B"/>
    <w:rsid w:val="6D8F5C1B"/>
    <w:rsid w:val="6E475936"/>
    <w:rsid w:val="757AE56C"/>
    <w:rsid w:val="7AFFECB2"/>
    <w:rsid w:val="7EBD3A86"/>
    <w:rsid w:val="7F3FB039"/>
    <w:rsid w:val="7FDD1713"/>
    <w:rsid w:val="B6E706A4"/>
    <w:rsid w:val="BA7F573E"/>
    <w:rsid w:val="BB3FCAE4"/>
    <w:rsid w:val="BFFBE3B7"/>
    <w:rsid w:val="DF3DA886"/>
    <w:rsid w:val="F9FF55AF"/>
    <w:rsid w:val="FDCBCE9D"/>
    <w:rsid w:val="FEAD1D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pacing w:line="240" w:lineRule="atLeast"/>
      <w:jc w:val="both"/>
    </w:pPr>
    <w:rPr>
      <w:rFonts w:ascii="仿宋_GB2312" w:hAnsi="仿宋_GB2312" w:eastAsia="仿宋_GB2312"/>
      <w:spacing w:val="0"/>
      <w:kern w:val="2"/>
      <w:sz w:val="32"/>
      <w:lang w:val="en-US" w:eastAsia="zh-CN"/>
    </w:rPr>
  </w:style>
  <w:style w:type="paragraph" w:styleId="2">
    <w:name w:val="heading 3"/>
    <w:basedOn w:val="1"/>
    <w:next w:val="1"/>
    <w:qFormat/>
    <w:uiPriority w:val="9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10">
    <w:name w:val="Default Paragraph Font"/>
    <w:uiPriority w:val="0"/>
  </w:style>
  <w:style w:type="table" w:default="1" w:styleId="8">
    <w:name w:val="Normal Table"/>
    <w:semiHidden/>
    <w:uiPriority w:val="0"/>
    <w:tblPr>
      <w:tblStyle w:val="8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index 5"/>
    <w:basedOn w:val="1"/>
    <w:next w:val="1"/>
    <w:qFormat/>
    <w:uiPriority w:val="0"/>
    <w:pPr>
      <w:ind w:left="1680"/>
    </w:pPr>
  </w:style>
  <w:style w:type="paragraph" w:styleId="4">
    <w:name w:val="Body Text"/>
    <w:basedOn w:val="1"/>
    <w:next w:val="5"/>
    <w:qFormat/>
    <w:uiPriority w:val="0"/>
    <w:rPr>
      <w:rFonts w:eastAsia="隶书"/>
      <w:spacing w:val="-30"/>
      <w:sz w:val="84"/>
    </w:rPr>
  </w:style>
  <w:style w:type="paragraph" w:styleId="5">
    <w:name w:val="footer"/>
    <w:basedOn w:val="1"/>
    <w:next w:val="3"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sz w:val="20"/>
    </w:rPr>
  </w:style>
  <w:style w:type="paragraph" w:styleId="6">
    <w:name w:val="header"/>
    <w:basedOn w:val="1"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sz w:val="20"/>
    </w:rPr>
  </w:style>
  <w:style w:type="paragraph" w:styleId="7">
    <w:name w:val="Normal (Web)"/>
    <w:basedOn w:val="1"/>
    <w:unhideWhenUsed/>
    <w:qFormat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 w:line="315" w:lineRule="atLeast"/>
      <w:ind w:left="0" w:right="0"/>
      <w:jc w:val="left"/>
    </w:pPr>
    <w:rPr>
      <w:kern w:val="0"/>
      <w:sz w:val="24"/>
      <w:lang w:val="en-US" w:eastAsia="zh-CN"/>
    </w:rPr>
  </w:style>
  <w:style w:type="table" w:styleId="9">
    <w:name w:val="Table Grid"/>
    <w:basedOn w:val="8"/>
    <w:unhideWhenUsed/>
    <w:qFormat/>
    <w:uiPriority w:val="99"/>
    <w:tblPr>
      <w:tblStyle w:val="8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uiPriority w:val="0"/>
  </w:style>
  <w:style w:type="character" w:styleId="12">
    <w:name w:val="line number"/>
    <w:basedOn w:val="10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&#20027;&#21160;&#20844;&#24320;\1.8\&#36890;&#30693;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通知.wpt</Template>
  <Company>fzgov</Company>
  <Pages>0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2020-09-22T16:08:25Z</dcterms:created>
  <dc:creator>Test</dc:creator>
  <cp:lastModifiedBy>Administrator</cp:lastModifiedBy>
  <dcterms:modified xsi:type="dcterms:W3CDTF">2026-01-08T10:07:14Z</dcterms:modified>
  <dc:title>No:0000001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B313AE064B0B4777907F9DAC59966E39</vt:lpwstr>
  </property>
</Properties>
</file>